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Body"/>
        <w:jc w:val="center"/>
        <w:rPr>
          <w:sz w:val="36"/>
          <w:szCs w:val="36"/>
          <w:u w:val="single"/>
        </w:rPr>
      </w:pPr>
      <w:r>
        <w:rPr>
          <w:sz w:val="36"/>
          <w:szCs w:val="36"/>
          <w:u w:val="single"/>
        </w:rPr>
        <w:t>Online Safety Advice for Parents - April 2020</w:t>
      </w:r>
    </w:p>
    <w:p>
      <w:pPr>
        <w:pStyle w:val="Body"/>
        <w:jc w:val="center"/>
        <w:rPr>
          <w:sz w:val="24"/>
          <w:szCs w:val="24"/>
        </w:rPr>
      </w:pPr>
    </w:p>
    <w:p>
      <w:pPr>
        <w:pStyle w:val="Body"/>
        <w:rPr>
          <w:sz w:val="24"/>
          <w:szCs w:val="24"/>
        </w:rPr>
      </w:pPr>
      <w:r>
        <w:rPr>
          <w:sz w:val="24"/>
          <w:szCs w:val="24"/>
        </w:rPr>
        <w:t xml:space="preserve">With everyone except key workers being asked to stay at home and online learning happening every day, our children are having increase access to online content, apps and videos. We are using social media, voice and video </w:t>
      </w:r>
      <w:proofErr w:type="gramStart"/>
      <w:r>
        <w:rPr>
          <w:sz w:val="24"/>
          <w:szCs w:val="24"/>
        </w:rPr>
        <w:t>calls  and</w:t>
      </w:r>
      <w:proofErr w:type="gramEnd"/>
      <w:r>
        <w:rPr>
          <w:sz w:val="24"/>
          <w:szCs w:val="24"/>
        </w:rPr>
        <w:t xml:space="preserve"> messaging on a much more regular basis and therefore it is important that we are also aware and able to help our children stay safe in these online environments. </w:t>
      </w:r>
    </w:p>
    <w:p>
      <w:pPr>
        <w:pStyle w:val="Body"/>
        <w:rPr>
          <w:sz w:val="28"/>
          <w:szCs w:val="28"/>
        </w:rPr>
      </w:pPr>
    </w:p>
    <w:tbl>
      <w:tblPr>
        <w:tblW w:w="9631" w:type="dxa"/>
        <w:tblInd w:w="108" w:type="dxa"/>
        <w:tblBorders>
          <w:top w:val="single" w:sz="2" w:space="0" w:color="000000"/>
          <w:left w:val="single" w:sz="2" w:space="0" w:color="000000"/>
          <w:bottom w:val="single" w:sz="2" w:space="0" w:color="000000"/>
          <w:right w:val="single" w:sz="2" w:space="0" w:color="000000"/>
          <w:insideH w:val="single" w:sz="40" w:space="0" w:color="000000"/>
          <w:insideV w:val="single" w:sz="40" w:space="0" w:color="000000"/>
        </w:tblBorders>
        <w:tblLayout w:type="fixed"/>
        <w:tblLook w:val="04A0" w:firstRow="1" w:lastRow="0" w:firstColumn="1" w:lastColumn="0" w:noHBand="0" w:noVBand="1"/>
      </w:tblPr>
      <w:tblGrid>
        <w:gridCol w:w="4815"/>
        <w:gridCol w:w="4816"/>
      </w:tblGrid>
      <w:tr>
        <w:trPr>
          <w:trHeight w:val="3575"/>
        </w:trPr>
        <w:tc>
          <w:tcPr>
            <w:tcW w:w="4815" w:type="dxa"/>
            <w:tcBorders>
              <w:top w:val="single" w:sz="40" w:space="0" w:color="000000"/>
              <w:left w:val="single" w:sz="40" w:space="0" w:color="000000"/>
              <w:bottom w:val="single" w:sz="2" w:space="0" w:color="000000"/>
              <w:right w:val="single" w:sz="2" w:space="0" w:color="000000"/>
            </w:tcBorders>
            <w:shd w:val="clear" w:color="auto" w:fill="auto"/>
            <w:tcMar>
              <w:top w:w="80" w:type="dxa"/>
              <w:left w:w="80" w:type="dxa"/>
              <w:bottom w:w="80" w:type="dxa"/>
              <w:right w:w="80" w:type="dxa"/>
            </w:tcMar>
          </w:tcPr>
          <w:p>
            <w:pPr>
              <w:pStyle w:val="TableStyle2"/>
              <w:jc w:val="center"/>
              <w:rPr>
                <w:sz w:val="36"/>
                <w:szCs w:val="36"/>
              </w:rPr>
            </w:pPr>
            <w:r>
              <w:rPr>
                <w:noProof/>
                <w:sz w:val="36"/>
                <w:szCs w:val="36"/>
              </w:rPr>
              <w:drawing>
                <wp:inline distT="0" distB="0" distL="0" distR="0">
                  <wp:extent cx="2921000" cy="6604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creen Shot 2020-04-06 at 17.41.08.png"/>
                          <pic:cNvPicPr/>
                        </pic:nvPicPr>
                        <pic:blipFill>
                          <a:blip r:embed="rId6">
                            <a:extLst/>
                          </a:blip>
                          <a:stretch>
                            <a:fillRect/>
                          </a:stretch>
                        </pic:blipFill>
                        <pic:spPr>
                          <a:xfrm>
                            <a:off x="0" y="0"/>
                            <a:ext cx="2921000" cy="660400"/>
                          </a:xfrm>
                          <a:prstGeom prst="rect">
                            <a:avLst/>
                          </a:prstGeom>
                          <a:ln w="12700" cap="flat">
                            <a:noFill/>
                            <a:miter lim="400000"/>
                          </a:ln>
                          <a:effectLst/>
                        </pic:spPr>
                      </pic:pic>
                    </a:graphicData>
                  </a:graphic>
                </wp:inline>
              </w:drawing>
            </w:r>
          </w:p>
          <w:p>
            <w:pPr>
              <w:pStyle w:val="TableStyle2"/>
              <w:jc w:val="center"/>
              <w:rPr>
                <w:sz w:val="36"/>
                <w:szCs w:val="36"/>
              </w:rPr>
            </w:pPr>
            <w:hyperlink r:id="rId7" w:history="1">
              <w:r>
                <w:rPr>
                  <w:rStyle w:val="Hyperlink0"/>
                  <w:sz w:val="36"/>
                  <w:szCs w:val="36"/>
                  <w:lang w:val="en-US"/>
                </w:rPr>
                <w:t>net-aware.org.uk</w:t>
              </w:r>
            </w:hyperlink>
          </w:p>
          <w:p>
            <w:pPr>
              <w:pStyle w:val="TableStyle2"/>
              <w:jc w:val="center"/>
            </w:pPr>
            <w:r>
              <w:rPr>
                <w:lang w:val="en-US"/>
              </w:rPr>
              <w:t>Support from the NSPCC.</w:t>
            </w:r>
          </w:p>
          <w:p>
            <w:pPr>
              <w:pStyle w:val="TableStyle2"/>
            </w:pPr>
            <w:r>
              <w:rPr>
                <w:rFonts w:eastAsia="Arial Unicode MS" w:hAnsi="Arial Unicode MS" w:cs="Arial Unicode MS"/>
                <w:lang w:val="en-US"/>
              </w:rPr>
              <w:t>Type in the name of a social network, app or game and it will tell you which settings you need to change to make it safer for your child. It also gives an overview of the social network, app or game so it can help you decide if this is indeed suitable for your child.</w:t>
            </w:r>
          </w:p>
        </w:tc>
        <w:tc>
          <w:tcPr>
            <w:tcW w:w="4815" w:type="dxa"/>
            <w:tcBorders>
              <w:top w:val="single" w:sz="40" w:space="0" w:color="000000"/>
              <w:left w:val="single" w:sz="2" w:space="0" w:color="000000"/>
              <w:bottom w:val="single" w:sz="2" w:space="0" w:color="000000"/>
              <w:right w:val="single" w:sz="40" w:space="0" w:color="000000"/>
            </w:tcBorders>
            <w:shd w:val="clear" w:color="auto" w:fill="auto"/>
            <w:tcMar>
              <w:top w:w="80" w:type="dxa"/>
              <w:left w:w="80" w:type="dxa"/>
              <w:bottom w:w="80" w:type="dxa"/>
              <w:right w:w="80" w:type="dxa"/>
            </w:tcMar>
          </w:tcPr>
          <w:p>
            <w:pPr>
              <w:pStyle w:val="TableStyle2"/>
              <w:jc w:val="center"/>
            </w:pPr>
            <w:r>
              <w:rPr>
                <w:noProof/>
              </w:rPr>
              <w:drawing>
                <wp:inline distT="0" distB="0" distL="0" distR="0">
                  <wp:extent cx="920669" cy="70880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Screen Shot 2020-04-06 at 17.43.04.png"/>
                          <pic:cNvPicPr/>
                        </pic:nvPicPr>
                        <pic:blipFill>
                          <a:blip r:embed="rId8">
                            <a:extLst/>
                          </a:blip>
                          <a:stretch>
                            <a:fillRect/>
                          </a:stretch>
                        </pic:blipFill>
                        <pic:spPr>
                          <a:xfrm>
                            <a:off x="0" y="0"/>
                            <a:ext cx="920669" cy="708800"/>
                          </a:xfrm>
                          <a:prstGeom prst="rect">
                            <a:avLst/>
                          </a:prstGeom>
                          <a:ln w="12700" cap="flat">
                            <a:noFill/>
                            <a:miter lim="400000"/>
                          </a:ln>
                          <a:effectLst/>
                        </pic:spPr>
                      </pic:pic>
                    </a:graphicData>
                  </a:graphic>
                </wp:inline>
              </w:drawing>
            </w:r>
          </w:p>
          <w:p>
            <w:pPr>
              <w:pStyle w:val="TableStyle2"/>
              <w:jc w:val="center"/>
              <w:rPr>
                <w:sz w:val="36"/>
                <w:szCs w:val="36"/>
              </w:rPr>
            </w:pPr>
            <w:hyperlink r:id="rId9" w:history="1">
              <w:r>
                <w:rPr>
                  <w:rStyle w:val="Hyperlink0"/>
                  <w:sz w:val="36"/>
                  <w:szCs w:val="36"/>
                  <w:lang w:val="en-US"/>
                </w:rPr>
                <w:t>www.thinkuknow.co.uk</w:t>
              </w:r>
            </w:hyperlink>
          </w:p>
          <w:p>
            <w:pPr>
              <w:pStyle w:val="TableStyle2"/>
              <w:jc w:val="center"/>
            </w:pPr>
            <w:r>
              <w:rPr>
                <w:lang w:val="en-US"/>
              </w:rPr>
              <w:t xml:space="preserve">Support from NCA-CEOP A UK </w:t>
            </w:r>
            <w:proofErr w:type="spellStart"/>
            <w:r>
              <w:rPr>
                <w:lang w:val="en-US"/>
              </w:rPr>
              <w:t>organisation</w:t>
            </w:r>
            <w:proofErr w:type="spellEnd"/>
            <w:r>
              <w:rPr>
                <w:lang w:val="en-US"/>
              </w:rPr>
              <w:t xml:space="preserve"> that protects children both online and offline</w:t>
            </w:r>
          </w:p>
          <w:p>
            <w:pPr>
              <w:pStyle w:val="TableStyle2"/>
            </w:pPr>
            <w:r>
              <w:rPr>
                <w:lang w:val="en-US"/>
              </w:rPr>
              <w:t>Has information both for adults and children. Can watch videos with your child and read them content that can help them understand how to stay safe online and offline. The information is given in age appropriate language and videos are also age appropriate.</w:t>
            </w:r>
          </w:p>
        </w:tc>
      </w:tr>
      <w:tr>
        <w:trPr>
          <w:trHeight w:val="2883"/>
        </w:trPr>
        <w:tc>
          <w:tcPr>
            <w:tcW w:w="4815" w:type="dxa"/>
            <w:tcBorders>
              <w:top w:val="single" w:sz="2" w:space="0" w:color="000000"/>
              <w:left w:val="single" w:sz="40" w:space="0" w:color="000000"/>
              <w:bottom w:val="single" w:sz="2" w:space="0" w:color="000000"/>
              <w:right w:val="single" w:sz="2" w:space="0" w:color="000000"/>
            </w:tcBorders>
            <w:shd w:val="clear" w:color="auto" w:fill="auto"/>
            <w:tcMar>
              <w:top w:w="80" w:type="dxa"/>
              <w:left w:w="80" w:type="dxa"/>
              <w:bottom w:w="80" w:type="dxa"/>
              <w:right w:w="80" w:type="dxa"/>
            </w:tcMar>
          </w:tcPr>
          <w:p>
            <w:pPr>
              <w:pStyle w:val="TableStyle2"/>
              <w:jc w:val="center"/>
            </w:pPr>
            <w:r>
              <w:rPr>
                <w:noProof/>
              </w:rPr>
              <w:drawing>
                <wp:inline distT="0" distB="0" distL="0" distR="0">
                  <wp:extent cx="863010" cy="452053"/>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Screen Shot 2020-04-06 at 17.48.14.png"/>
                          <pic:cNvPicPr/>
                        </pic:nvPicPr>
                        <pic:blipFill>
                          <a:blip r:embed="rId10">
                            <a:extLst/>
                          </a:blip>
                          <a:stretch>
                            <a:fillRect/>
                          </a:stretch>
                        </pic:blipFill>
                        <pic:spPr>
                          <a:xfrm>
                            <a:off x="0" y="0"/>
                            <a:ext cx="863010" cy="452053"/>
                          </a:xfrm>
                          <a:prstGeom prst="rect">
                            <a:avLst/>
                          </a:prstGeom>
                          <a:ln w="12700" cap="flat">
                            <a:noFill/>
                            <a:miter lim="400000"/>
                          </a:ln>
                          <a:effectLst/>
                        </pic:spPr>
                      </pic:pic>
                    </a:graphicData>
                  </a:graphic>
                </wp:inline>
              </w:drawing>
            </w:r>
          </w:p>
          <w:p>
            <w:pPr>
              <w:pStyle w:val="TableStyle2"/>
              <w:jc w:val="center"/>
              <w:rPr>
                <w:sz w:val="36"/>
                <w:szCs w:val="36"/>
              </w:rPr>
            </w:pPr>
            <w:hyperlink r:id="rId11" w:history="1">
              <w:r>
                <w:rPr>
                  <w:rStyle w:val="Hyperlink0"/>
                  <w:sz w:val="36"/>
                  <w:szCs w:val="36"/>
                  <w:lang w:val="en-US"/>
                </w:rPr>
                <w:t>internetmatters.org</w:t>
              </w:r>
            </w:hyperlink>
          </w:p>
          <w:p>
            <w:pPr>
              <w:pStyle w:val="TableStyle2"/>
              <w:jc w:val="center"/>
            </w:pPr>
            <w:r>
              <w:rPr>
                <w:lang w:val="en-US"/>
              </w:rPr>
              <w:t>In partnership with many Internet and Phone suppliers.</w:t>
            </w:r>
          </w:p>
          <w:p>
            <w:pPr>
              <w:pStyle w:val="TableStyle2"/>
            </w:pPr>
            <w:r>
              <w:rPr>
                <w:lang w:val="en-US"/>
              </w:rPr>
              <w:t>Aimed at parents and carers. This site provides useful information for ways to keep your child safe online based on their age. Also includes step by step guides about how to set up parental controls on many devices, apps and social Media platforms.</w:t>
            </w:r>
          </w:p>
        </w:tc>
        <w:tc>
          <w:tcPr>
            <w:tcW w:w="4815" w:type="dxa"/>
            <w:tcBorders>
              <w:top w:val="single" w:sz="2" w:space="0" w:color="000000"/>
              <w:left w:val="single" w:sz="2" w:space="0" w:color="000000"/>
              <w:bottom w:val="single" w:sz="2" w:space="0" w:color="000000"/>
              <w:right w:val="single" w:sz="40" w:space="0" w:color="000000"/>
            </w:tcBorders>
            <w:shd w:val="clear" w:color="auto" w:fill="auto"/>
            <w:tcMar>
              <w:top w:w="80" w:type="dxa"/>
              <w:left w:w="80" w:type="dxa"/>
              <w:bottom w:w="80" w:type="dxa"/>
              <w:right w:w="80" w:type="dxa"/>
            </w:tcMar>
          </w:tcPr>
          <w:p>
            <w:pPr>
              <w:pStyle w:val="TableStyle2"/>
              <w:jc w:val="center"/>
            </w:pPr>
            <w:r>
              <w:rPr>
                <w:noProof/>
              </w:rPr>
              <w:drawing>
                <wp:inline distT="0" distB="0" distL="0" distR="0">
                  <wp:extent cx="2146416" cy="437678"/>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Screen Shot 2020-04-06 at 17.55.35.png"/>
                          <pic:cNvPicPr/>
                        </pic:nvPicPr>
                        <pic:blipFill>
                          <a:blip r:embed="rId12">
                            <a:extLst/>
                          </a:blip>
                          <a:stretch>
                            <a:fillRect/>
                          </a:stretch>
                        </pic:blipFill>
                        <pic:spPr>
                          <a:xfrm>
                            <a:off x="0" y="0"/>
                            <a:ext cx="2146416" cy="437678"/>
                          </a:xfrm>
                          <a:prstGeom prst="rect">
                            <a:avLst/>
                          </a:prstGeom>
                          <a:ln w="12700" cap="flat">
                            <a:noFill/>
                            <a:miter lim="400000"/>
                          </a:ln>
                          <a:effectLst/>
                        </pic:spPr>
                      </pic:pic>
                    </a:graphicData>
                  </a:graphic>
                </wp:inline>
              </w:drawing>
            </w:r>
          </w:p>
          <w:p>
            <w:pPr>
              <w:pStyle w:val="TableStyle2"/>
              <w:jc w:val="center"/>
              <w:rPr>
                <w:sz w:val="36"/>
                <w:szCs w:val="36"/>
              </w:rPr>
            </w:pPr>
            <w:hyperlink r:id="rId13" w:history="1">
              <w:r>
                <w:rPr>
                  <w:rStyle w:val="Hyperlink0"/>
                  <w:sz w:val="36"/>
                  <w:szCs w:val="36"/>
                  <w:lang w:val="en-US"/>
                </w:rPr>
                <w:t>parentinfo.org</w:t>
              </w:r>
            </w:hyperlink>
          </w:p>
          <w:p>
            <w:pPr>
              <w:pStyle w:val="TableStyle2"/>
            </w:pPr>
            <w:r>
              <w:rPr>
                <w:lang w:val="en-US"/>
              </w:rPr>
              <w:t>Provided practical information and links to articles about a whole realm of parental/</w:t>
            </w:r>
            <w:proofErr w:type="spellStart"/>
            <w:r>
              <w:rPr>
                <w:lang w:val="en-US"/>
              </w:rPr>
              <w:t>carer</w:t>
            </w:r>
            <w:proofErr w:type="spellEnd"/>
            <w:r>
              <w:rPr>
                <w:lang w:val="en-US"/>
              </w:rPr>
              <w:t xml:space="preserve"> concerns or questions. Included information on online safety but also such things as mental wellbeing advice, education, safety, sex and relationships and parenting.</w:t>
            </w:r>
          </w:p>
        </w:tc>
      </w:tr>
      <w:tr>
        <w:trPr>
          <w:trHeight w:val="3244"/>
        </w:trPr>
        <w:tc>
          <w:tcPr>
            <w:tcW w:w="4815" w:type="dxa"/>
            <w:tcBorders>
              <w:top w:val="single" w:sz="2" w:space="0" w:color="000000"/>
              <w:left w:val="single" w:sz="40" w:space="0" w:color="000000"/>
              <w:bottom w:val="single" w:sz="40" w:space="0" w:color="000000"/>
              <w:right w:val="single" w:sz="2" w:space="0" w:color="000000"/>
            </w:tcBorders>
            <w:shd w:val="clear" w:color="auto" w:fill="auto"/>
            <w:tcMar>
              <w:top w:w="80" w:type="dxa"/>
              <w:left w:w="80" w:type="dxa"/>
              <w:bottom w:w="80" w:type="dxa"/>
              <w:right w:w="80" w:type="dxa"/>
            </w:tcMar>
          </w:tcPr>
          <w:p>
            <w:pPr>
              <w:pStyle w:val="TableStyle2"/>
              <w:jc w:val="center"/>
            </w:pPr>
            <w:r>
              <w:rPr>
                <w:noProof/>
              </w:rPr>
              <w:drawing>
                <wp:inline distT="0" distB="0" distL="0" distR="0">
                  <wp:extent cx="954829" cy="428546"/>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Screen Shot 2020-04-06 at 18.14.34.png"/>
                          <pic:cNvPicPr/>
                        </pic:nvPicPr>
                        <pic:blipFill>
                          <a:blip r:embed="rId14">
                            <a:extLst/>
                          </a:blip>
                          <a:stretch>
                            <a:fillRect/>
                          </a:stretch>
                        </pic:blipFill>
                        <pic:spPr>
                          <a:xfrm>
                            <a:off x="0" y="0"/>
                            <a:ext cx="954829" cy="428546"/>
                          </a:xfrm>
                          <a:prstGeom prst="rect">
                            <a:avLst/>
                          </a:prstGeom>
                          <a:ln w="12700" cap="flat">
                            <a:noFill/>
                            <a:miter lim="400000"/>
                          </a:ln>
                          <a:effectLst/>
                        </pic:spPr>
                      </pic:pic>
                    </a:graphicData>
                  </a:graphic>
                </wp:inline>
              </w:drawing>
            </w:r>
          </w:p>
          <w:p>
            <w:pPr>
              <w:pStyle w:val="TableStyle2"/>
              <w:jc w:val="center"/>
              <w:rPr>
                <w:sz w:val="36"/>
                <w:szCs w:val="36"/>
              </w:rPr>
            </w:pPr>
            <w:hyperlink r:id="rId15" w:history="1">
              <w:r>
                <w:rPr>
                  <w:rStyle w:val="Hyperlink0"/>
                  <w:sz w:val="36"/>
                  <w:szCs w:val="36"/>
                  <w:lang w:val="en-US"/>
                </w:rPr>
                <w:t>www.lgfl.net/online-safety/default.aspx</w:t>
              </w:r>
            </w:hyperlink>
          </w:p>
          <w:p>
            <w:pPr>
              <w:pStyle w:val="TableStyle2"/>
              <w:jc w:val="center"/>
            </w:pPr>
            <w:r>
              <w:rPr>
                <w:lang w:val="en-US"/>
              </w:rPr>
              <w:t xml:space="preserve">Advice for parents, teachers and children on how to stay safe online. Included Online worksheets for children on how to stay safe online and videos to help them understand key safety messages such as not being undressed or getting undressed whilst on camera, how to help avoid </w:t>
            </w:r>
            <w:proofErr w:type="spellStart"/>
            <w:r>
              <w:rPr>
                <w:lang w:val="en-US"/>
              </w:rPr>
              <w:t>radicalisation</w:t>
            </w:r>
            <w:proofErr w:type="spellEnd"/>
            <w:r>
              <w:rPr>
                <w:lang w:val="en-US"/>
              </w:rPr>
              <w:t xml:space="preserve"> etc. </w:t>
            </w:r>
          </w:p>
        </w:tc>
        <w:tc>
          <w:tcPr>
            <w:tcW w:w="4815" w:type="dxa"/>
            <w:tcBorders>
              <w:top w:val="single" w:sz="2" w:space="0" w:color="000000"/>
              <w:left w:val="single" w:sz="2" w:space="0" w:color="000000"/>
              <w:bottom w:val="single" w:sz="40" w:space="0" w:color="000000"/>
              <w:right w:val="single" w:sz="40" w:space="0" w:color="000000"/>
            </w:tcBorders>
            <w:shd w:val="clear" w:color="auto" w:fill="auto"/>
            <w:tcMar>
              <w:top w:w="80" w:type="dxa"/>
              <w:left w:w="80" w:type="dxa"/>
              <w:bottom w:w="80" w:type="dxa"/>
              <w:right w:w="80" w:type="dxa"/>
            </w:tcMar>
          </w:tcPr>
          <w:p>
            <w:pPr>
              <w:pStyle w:val="TableStyle2"/>
              <w:jc w:val="center"/>
            </w:pPr>
            <w:r>
              <w:rPr>
                <w:noProof/>
              </w:rPr>
              <w:drawing>
                <wp:inline distT="0" distB="0" distL="0" distR="0">
                  <wp:extent cx="819150" cy="7127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intable 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5793" cy="718490"/>
                          </a:xfrm>
                          <a:prstGeom prst="rect">
                            <a:avLst/>
                          </a:prstGeom>
                        </pic:spPr>
                      </pic:pic>
                    </a:graphicData>
                  </a:graphic>
                </wp:inline>
              </w:drawing>
            </w:r>
          </w:p>
          <w:p>
            <w:pPr>
              <w:pStyle w:val="TableStyle2"/>
              <w:jc w:val="center"/>
            </w:pPr>
            <w:r>
              <w:t>Please see these pages on our website:</w:t>
            </w:r>
          </w:p>
          <w:p>
            <w:pPr>
              <w:pStyle w:val="TableStyle2"/>
              <w:jc w:val="center"/>
            </w:pPr>
            <w:hyperlink r:id="rId17" w:history="1">
              <w:r>
                <w:rPr>
                  <w:rFonts w:ascii="Times New Roman" w:eastAsia="Arial Unicode MS" w:hAnsi="Times New Roman" w:cs="Times New Roman"/>
                  <w:color w:val="0000FF"/>
                  <w:sz w:val="24"/>
                  <w:szCs w:val="24"/>
                  <w:u w:val="single"/>
                  <w:lang w:val="en-US" w:eastAsia="en-US"/>
                </w:rPr>
                <w:t>http://www.queen</w:t>
              </w:r>
              <w:bookmarkStart w:id="0" w:name="_GoBack"/>
              <w:bookmarkEnd w:id="0"/>
              <w:r>
                <w:rPr>
                  <w:rFonts w:ascii="Times New Roman" w:eastAsia="Arial Unicode MS" w:hAnsi="Times New Roman" w:cs="Times New Roman"/>
                  <w:color w:val="0000FF"/>
                  <w:sz w:val="24"/>
                  <w:szCs w:val="24"/>
                  <w:u w:val="single"/>
                  <w:lang w:val="en-US" w:eastAsia="en-US"/>
                </w:rPr>
                <w:t>s</w:t>
              </w:r>
              <w:r>
                <w:rPr>
                  <w:rFonts w:ascii="Times New Roman" w:eastAsia="Arial Unicode MS" w:hAnsi="Times New Roman" w:cs="Times New Roman"/>
                  <w:color w:val="0000FF"/>
                  <w:sz w:val="24"/>
                  <w:szCs w:val="24"/>
                  <w:u w:val="single"/>
                  <w:lang w:val="en-US" w:eastAsia="en-US"/>
                </w:rPr>
                <w:t>park.brighton-hove.sch.uk/curriculum/e-safety/</w:t>
              </w:r>
            </w:hyperlink>
          </w:p>
          <w:p>
            <w:pPr>
              <w:pStyle w:val="TableStyle2"/>
              <w:jc w:val="center"/>
            </w:pPr>
          </w:p>
          <w:p>
            <w:pPr>
              <w:pStyle w:val="TableStyle2"/>
              <w:jc w:val="center"/>
              <w:rPr>
                <w:sz w:val="36"/>
                <w:szCs w:val="36"/>
                <w:lang w:val="en-US"/>
              </w:rPr>
            </w:pPr>
            <w:hyperlink r:id="rId18" w:history="1">
              <w:r>
                <w:rPr>
                  <w:rFonts w:ascii="Times New Roman" w:eastAsia="Arial Unicode MS" w:hAnsi="Times New Roman" w:cs="Times New Roman"/>
                  <w:color w:val="0000FF"/>
                  <w:sz w:val="24"/>
                  <w:szCs w:val="24"/>
                  <w:u w:val="single"/>
                  <w:lang w:val="en-US" w:eastAsia="en-US"/>
                </w:rPr>
                <w:t>http://www.queenspark.brighton-hove.sch.uk/home-learning/online-safety/</w:t>
              </w:r>
            </w:hyperlink>
          </w:p>
          <w:p>
            <w:pPr>
              <w:pStyle w:val="TableStyle2"/>
              <w:jc w:val="center"/>
            </w:pPr>
          </w:p>
        </w:tc>
      </w:tr>
    </w:tbl>
    <w:p>
      <w:pPr>
        <w:pStyle w:val="Body"/>
        <w:rPr>
          <w:sz w:val="28"/>
          <w:szCs w:val="28"/>
        </w:rPr>
      </w:pPr>
    </w:p>
    <w:p>
      <w:pPr>
        <w:pStyle w:val="Body"/>
        <w:rPr>
          <w:sz w:val="28"/>
          <w:szCs w:val="28"/>
        </w:rPr>
      </w:pPr>
    </w:p>
    <w:p>
      <w:pPr>
        <w:pStyle w:val="Body"/>
        <w:rPr>
          <w:sz w:val="24"/>
          <w:szCs w:val="24"/>
        </w:rPr>
      </w:pPr>
    </w:p>
    <w:p>
      <w:pPr>
        <w:pStyle w:val="Body"/>
      </w:pPr>
    </w:p>
    <w:sectPr>
      <w:headerReference w:type="default" r:id="rId19"/>
      <w:footerReference w:type="default" r:id="rId20"/>
      <w:pgSz w:w="11906" w:h="16838"/>
      <w:pgMar w:top="680" w:right="1134" w:bottom="680"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55D4E6-8AD4-41D2-BB2C-A228F84D5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lang w:val="en-US"/>
    </w:rPr>
  </w:style>
  <w:style w:type="paragraph" w:customStyle="1" w:styleId="TableStyle2">
    <w:name w:val="Table Style 2"/>
    <w:rPr>
      <w:rFonts w:ascii="Helvetica" w:eastAsia="Helvetica" w:hAnsi="Helvetica" w:cs="Helvetica"/>
      <w:color w:val="000000"/>
    </w:rPr>
  </w:style>
  <w:style w:type="character" w:customStyle="1" w:styleId="Hyperlink0">
    <w:name w:val="Hyperlink.0"/>
    <w:basedOn w:val="Hyperlink"/>
    <w:rPr>
      <w:u w:val="single"/>
    </w:rPr>
  </w:style>
  <w:style w:type="character" w:customStyle="1" w:styleId="Hyperlink1">
    <w:name w:val="Hyperlink.1"/>
    <w:basedOn w:val="Hyperlink0"/>
    <w:rPr>
      <w:color w:val="0096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parentinfo.org" TargetMode="External"/><Relationship Id="rId18" Type="http://schemas.openxmlformats.org/officeDocument/2006/relationships/hyperlink" Target="http://www.queenspark.brighton-hove.sch.uk/home-learning/online-safety/"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net-aware.org.uk" TargetMode="External"/><Relationship Id="rId12" Type="http://schemas.openxmlformats.org/officeDocument/2006/relationships/image" Target="media/image4.png"/><Relationship Id="rId17" Type="http://schemas.openxmlformats.org/officeDocument/2006/relationships/hyperlink" Target="http://www.queenspark.brighton-hove.sch.uk/curriculum/e-safety/" TargetMode="Externa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internetmatters.org" TargetMode="External"/><Relationship Id="rId5" Type="http://schemas.openxmlformats.org/officeDocument/2006/relationships/endnotes" Target="endnotes.xml"/><Relationship Id="rId15" Type="http://schemas.openxmlformats.org/officeDocument/2006/relationships/hyperlink" Target="http://www.lgfl.net/online-safety/default.aspx"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thinkuknow.co.uk" TargetMode="External"/><Relationship Id="rId14" Type="http://schemas.openxmlformats.org/officeDocument/2006/relationships/image" Target="media/image5.png"/><Relationship Id="rId22"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Queens Park Primary School</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Cox</dc:creator>
  <cp:lastModifiedBy>Anne Cox</cp:lastModifiedBy>
  <cp:revision>5</cp:revision>
  <cp:lastPrinted>2020-04-07T12:48:00Z</cp:lastPrinted>
  <dcterms:created xsi:type="dcterms:W3CDTF">2020-04-07T11:57:00Z</dcterms:created>
  <dcterms:modified xsi:type="dcterms:W3CDTF">2020-04-07T12:48:00Z</dcterms:modified>
</cp:coreProperties>
</file>